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2F3AD">
      <w:pPr>
        <w:keepNext/>
        <w:keepLines/>
        <w:widowControl w:val="0"/>
        <w:spacing w:before="480" w:after="200"/>
        <w:jc w:val="center"/>
        <w:outlineLvl w:val="0"/>
        <w:rPr>
          <w:rFonts w:hint="eastAsia" w:ascii="黑体" w:hAnsi="黑体" w:eastAsia="黑体" w:cs="黑体"/>
          <w:color w:val="auto"/>
          <w:sz w:val="40"/>
          <w:szCs w:val="40"/>
          <w:highlight w:val="none"/>
          <w:lang w:val="en-US" w:eastAsia="zh-CN" w:bidi="ar-SA"/>
        </w:rPr>
      </w:pPr>
      <w:bookmarkStart w:id="3" w:name="_GoBack"/>
      <w:bookmarkEnd w:id="3"/>
      <w:bookmarkStart w:id="0" w:name="_Toc103930002"/>
      <w:bookmarkStart w:id="1" w:name="_Toc22910"/>
      <w:bookmarkStart w:id="2" w:name="_Toc31419"/>
      <w:r>
        <w:rPr>
          <w:rFonts w:hint="eastAsia" w:ascii="黑体" w:hAnsi="黑体" w:eastAsia="黑体" w:cs="黑体"/>
          <w:color w:val="auto"/>
          <w:sz w:val="40"/>
          <w:szCs w:val="40"/>
          <w:highlight w:val="none"/>
          <w:lang w:val="en-US" w:eastAsia="zh-CN" w:bidi="ar-SA"/>
        </w:rPr>
        <w:t>采购需求</w:t>
      </w:r>
      <w:bookmarkEnd w:id="0"/>
      <w:bookmarkEnd w:id="1"/>
      <w:bookmarkEnd w:id="2"/>
    </w:p>
    <w:p w14:paraId="2FB7E75E">
      <w:pPr>
        <w:spacing w:line="480" w:lineRule="exact"/>
        <w:ind w:firstLine="482"/>
        <w:rPr>
          <w:rFonts w:hint="eastAsia"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一</w:t>
      </w:r>
      <w:r>
        <w:rPr>
          <w:rFonts w:hint="default" w:ascii="宋体" w:hAnsi="宋体" w:eastAsia="宋体" w:cs="Times New Roman"/>
          <w:b/>
          <w:color w:val="auto"/>
          <w:kern w:val="0"/>
          <w:sz w:val="24"/>
          <w:szCs w:val="24"/>
          <w:highlight w:val="none"/>
        </w:rPr>
        <w:t>、</w:t>
      </w:r>
      <w:r>
        <w:rPr>
          <w:rFonts w:hint="eastAsia" w:ascii="宋体" w:hAnsi="宋体" w:eastAsia="宋体" w:cs="Times New Roman"/>
          <w:b/>
          <w:color w:val="auto"/>
          <w:kern w:val="0"/>
          <w:sz w:val="24"/>
          <w:szCs w:val="24"/>
          <w:highlight w:val="none"/>
        </w:rPr>
        <w:t>采购</w:t>
      </w:r>
      <w:r>
        <w:rPr>
          <w:rFonts w:hint="default" w:ascii="宋体" w:hAnsi="宋体" w:eastAsia="宋体" w:cs="Times New Roman"/>
          <w:b/>
          <w:color w:val="auto"/>
          <w:kern w:val="0"/>
          <w:sz w:val="24"/>
          <w:szCs w:val="24"/>
          <w:highlight w:val="none"/>
        </w:rPr>
        <w:t>标的清单</w:t>
      </w:r>
    </w:p>
    <w:p w14:paraId="69C965E4">
      <w:pPr>
        <w:spacing w:line="480" w:lineRule="exact"/>
        <w:ind w:firstLine="480"/>
        <w:rPr>
          <w:rFonts w:hint="eastAsia" w:ascii="宋体" w:hAnsi="宋体" w:eastAsia="宋体" w:cs="Times New Roman"/>
          <w:color w:val="auto"/>
          <w:kern w:val="0"/>
          <w:sz w:val="24"/>
          <w:szCs w:val="24"/>
          <w:highlight w:val="none"/>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591"/>
        <w:gridCol w:w="2852"/>
      </w:tblGrid>
      <w:tr w14:paraId="5932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noWrap w:val="0"/>
            <w:vAlign w:val="center"/>
          </w:tcPr>
          <w:p w14:paraId="0A55D007">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序号</w:t>
            </w:r>
          </w:p>
        </w:tc>
        <w:tc>
          <w:tcPr>
            <w:tcW w:w="4591" w:type="dxa"/>
            <w:noWrap w:val="0"/>
            <w:vAlign w:val="center"/>
          </w:tcPr>
          <w:p w14:paraId="7A914B4B">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w:t>
            </w:r>
            <w:r>
              <w:rPr>
                <w:rFonts w:hint="default" w:ascii="宋体" w:hAnsi="宋体" w:eastAsia="宋体" w:cs="Times New Roman"/>
                <w:color w:val="auto"/>
                <w:kern w:val="0"/>
                <w:sz w:val="24"/>
                <w:szCs w:val="24"/>
                <w:highlight w:val="none"/>
              </w:rPr>
              <w:t>标的</w:t>
            </w:r>
          </w:p>
        </w:tc>
        <w:tc>
          <w:tcPr>
            <w:tcW w:w="2852" w:type="dxa"/>
            <w:noWrap w:val="0"/>
            <w:vAlign w:val="center"/>
          </w:tcPr>
          <w:p w14:paraId="4089E956">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对应中</w:t>
            </w:r>
            <w:r>
              <w:rPr>
                <w:rFonts w:hint="default" w:ascii="宋体" w:hAnsi="宋体" w:eastAsia="宋体" w:cs="Times New Roman"/>
                <w:color w:val="auto"/>
                <w:kern w:val="0"/>
                <w:sz w:val="24"/>
                <w:szCs w:val="24"/>
                <w:highlight w:val="none"/>
              </w:rPr>
              <w:t>小企业划分标准所属行业</w:t>
            </w:r>
          </w:p>
        </w:tc>
      </w:tr>
      <w:tr w14:paraId="59C2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40" w:type="dxa"/>
            <w:noWrap w:val="0"/>
            <w:vAlign w:val="center"/>
          </w:tcPr>
          <w:p w14:paraId="4A3F15E5">
            <w:pPr>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p>
        </w:tc>
        <w:tc>
          <w:tcPr>
            <w:tcW w:w="4591" w:type="dxa"/>
            <w:noWrap w:val="0"/>
            <w:vAlign w:val="center"/>
          </w:tcPr>
          <w:p w14:paraId="05469014">
            <w:pPr>
              <w:tabs>
                <w:tab w:val="left" w:pos="2020"/>
              </w:tabs>
              <w:spacing w:line="0" w:lineRule="atLeast"/>
              <w:jc w:val="center"/>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eastAsia="zh-CN"/>
              </w:rPr>
              <w:t>沭阳县人武部民兵训练基地营房设施维修改造项目</w:t>
            </w:r>
          </w:p>
        </w:tc>
        <w:tc>
          <w:tcPr>
            <w:tcW w:w="2852" w:type="dxa"/>
            <w:noWrap w:val="0"/>
            <w:vAlign w:val="center"/>
          </w:tcPr>
          <w:p w14:paraId="2C365A36">
            <w:pPr>
              <w:spacing w:line="0" w:lineRule="atLeast"/>
              <w:jc w:val="center"/>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建筑业</w:t>
            </w:r>
          </w:p>
        </w:tc>
      </w:tr>
    </w:tbl>
    <w:p w14:paraId="0F57ACDF">
      <w:pPr>
        <w:spacing w:line="480" w:lineRule="exact"/>
        <w:rPr>
          <w:rFonts w:hint="eastAsia" w:ascii="宋体" w:hAnsi="宋体" w:eastAsia="宋体" w:cs="Times New Roman"/>
          <w:color w:val="auto"/>
          <w:kern w:val="0"/>
          <w:sz w:val="24"/>
          <w:szCs w:val="24"/>
          <w:highlight w:val="none"/>
        </w:rPr>
      </w:pPr>
    </w:p>
    <w:p w14:paraId="31AF1F48">
      <w:pPr>
        <w:spacing w:line="400" w:lineRule="exact"/>
        <w:ind w:firstLine="482"/>
        <w:jc w:val="left"/>
        <w:rPr>
          <w:rFonts w:hint="eastAsia" w:ascii="宋体" w:hAnsi="宋体" w:eastAsia="宋体" w:cs="宋体"/>
          <w:b/>
          <w:bCs/>
          <w:color w:val="auto"/>
          <w:kern w:val="0"/>
          <w:sz w:val="24"/>
          <w:szCs w:val="22"/>
          <w:highlight w:val="none"/>
        </w:rPr>
      </w:pPr>
      <w:r>
        <w:rPr>
          <w:rFonts w:hint="eastAsia" w:ascii="宋体" w:hAnsi="宋体" w:eastAsia="宋体" w:cs="Times New Roman"/>
          <w:b/>
          <w:color w:val="auto"/>
          <w:kern w:val="0"/>
          <w:sz w:val="24"/>
          <w:szCs w:val="24"/>
          <w:highlight w:val="none"/>
        </w:rPr>
        <w:t>二</w:t>
      </w:r>
      <w:r>
        <w:rPr>
          <w:rFonts w:hint="default" w:ascii="宋体" w:hAnsi="宋体" w:eastAsia="宋体" w:cs="Times New Roman"/>
          <w:b/>
          <w:color w:val="auto"/>
          <w:kern w:val="0"/>
          <w:sz w:val="24"/>
          <w:szCs w:val="24"/>
          <w:highlight w:val="none"/>
        </w:rPr>
        <w:t>、</w:t>
      </w:r>
      <w:r>
        <w:rPr>
          <w:rFonts w:hint="eastAsia" w:ascii="宋体" w:hAnsi="宋体" w:eastAsia="宋体" w:cs="宋体"/>
          <w:b/>
          <w:bCs/>
          <w:color w:val="auto"/>
          <w:kern w:val="0"/>
          <w:sz w:val="24"/>
          <w:highlight w:val="none"/>
        </w:rPr>
        <w:t>项目概况：</w:t>
      </w:r>
    </w:p>
    <w:p w14:paraId="48D71A9C">
      <w:pPr>
        <w:tabs>
          <w:tab w:val="left" w:pos="420"/>
        </w:tabs>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1.工程名称：沭阳县人武部民兵训练基地营房设施维修改造项目</w:t>
      </w:r>
    </w:p>
    <w:p w14:paraId="3543EAFD">
      <w:pPr>
        <w:tabs>
          <w:tab w:val="left" w:pos="420"/>
        </w:tabs>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2.工期：签订合同后30日历天内完成施工</w:t>
      </w:r>
    </w:p>
    <w:p w14:paraId="6AC03E3D">
      <w:pPr>
        <w:tabs>
          <w:tab w:val="left" w:pos="420"/>
        </w:tabs>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 xml:space="preserve">3.质量：合  格   </w:t>
      </w:r>
    </w:p>
    <w:p w14:paraId="22413FA6">
      <w:pPr>
        <w:tabs>
          <w:tab w:val="left" w:pos="420"/>
        </w:tabs>
        <w:spacing w:line="400" w:lineRule="exact"/>
        <w:ind w:firstLine="48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SA"/>
        </w:rPr>
        <w:t>4.缺陷责任期：</w:t>
      </w:r>
      <w:r>
        <w:rPr>
          <w:rFonts w:hint="eastAsia" w:ascii="宋体" w:hAnsi="宋体" w:eastAsia="宋体" w:cs="宋体"/>
          <w:sz w:val="24"/>
          <w:szCs w:val="24"/>
          <w:highlight w:val="none"/>
        </w:rPr>
        <w:t>自竣工验收合格之日起2年</w:t>
      </w:r>
    </w:p>
    <w:p w14:paraId="04E4CD27">
      <w:pPr>
        <w:tabs>
          <w:tab w:val="left" w:pos="420"/>
        </w:tabs>
        <w:spacing w:line="400" w:lineRule="exact"/>
        <w:ind w:firstLine="48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SA"/>
        </w:rPr>
        <w:t>5.付款方式</w:t>
      </w:r>
    </w:p>
    <w:p w14:paraId="5BE1E87D">
      <w:pPr>
        <w:tabs>
          <w:tab w:val="left" w:pos="420"/>
        </w:tabs>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预付款：合同金额的10%，合同签订后按规定支付；（成交供应商向采购人提供等额的银行保函）</w:t>
      </w:r>
    </w:p>
    <w:p w14:paraId="3FD641ED">
      <w:pPr>
        <w:tabs>
          <w:tab w:val="left" w:pos="420"/>
        </w:tabs>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进度款：工程全部完工经竣工验收合格后付至合同价款的80%，审计结束后付至审定价款的97%；余款待工程竣工验收合格对应日满两年且无质量缺陷责任后付清（无息）。</w:t>
      </w:r>
    </w:p>
    <w:p w14:paraId="04B77A29">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注：在签订合同时，中标人明确表示无需预付款或者主动要求降低预付款比例的金额，采购人可不适用预付款规定。</w:t>
      </w:r>
    </w:p>
    <w:p w14:paraId="6AC97E48">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对于满足合同约定支付条件的，自收到发票后10个工作日内将资金支付到合同约定的供应商账户或供应商数字人民币账户。</w:t>
      </w:r>
    </w:p>
    <w:p w14:paraId="1DEF578B">
      <w:pPr>
        <w:spacing w:line="400" w:lineRule="exact"/>
        <w:ind w:firstLine="482"/>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highlight w:val="none"/>
          <w:lang w:val="en-US"/>
        </w:rPr>
        <w:t>三、施工配合</w:t>
      </w:r>
      <w:r>
        <w:rPr>
          <w:rFonts w:hint="eastAsia" w:ascii="宋体" w:hAnsi="宋体" w:eastAsia="宋体" w:cs="宋体"/>
          <w:b/>
          <w:bCs/>
          <w:color w:val="auto"/>
          <w:kern w:val="0"/>
          <w:sz w:val="24"/>
          <w:highlight w:val="none"/>
        </w:rPr>
        <w:t xml:space="preserve"> </w:t>
      </w:r>
    </w:p>
    <w:p w14:paraId="28B88371">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1.现场文明施工：设置文明标语、告知警示牌、项目五牌一图，施工区域全封闭围挡，机械进出场地不得污染路面</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施工人员需统一着装</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施工现场破坏（</w:t>
      </w:r>
      <w:r>
        <w:rPr>
          <w:rFonts w:hint="eastAsia" w:ascii="宋体" w:hAnsi="宋体" w:eastAsia="宋体" w:cs="宋体"/>
          <w:kern w:val="0"/>
          <w:sz w:val="24"/>
          <w:szCs w:val="24"/>
          <w:highlight w:val="none"/>
          <w:lang w:eastAsia="zh-CN"/>
        </w:rPr>
        <w:t>如有</w:t>
      </w:r>
      <w:r>
        <w:rPr>
          <w:rFonts w:hint="eastAsia" w:ascii="宋体" w:hAnsi="宋体" w:eastAsia="宋体" w:cs="宋体"/>
          <w:kern w:val="0"/>
          <w:sz w:val="24"/>
          <w:szCs w:val="24"/>
          <w:highlight w:val="none"/>
        </w:rPr>
        <w:t>）需提前办理开挖手续</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并按要求缴纳相关费用，对公共设施需无偿恢复。此部分费用一并计入总价。</w:t>
      </w:r>
    </w:p>
    <w:p w14:paraId="1B88ACFE">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2.本项目涉及的所有材料，中标单位在使用前须报业主及监理单位批准同意后方可使用。</w:t>
      </w:r>
    </w:p>
    <w:p w14:paraId="457E7362">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3.施工相关保险费用：中标单位需整体考虑费用并计入投标总价中；施工企业需购买（工程一切险、团体意外险）等保险</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保证人员施工安全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如未按规定时间内购买完成，发包人有权在总承包单位第一次进度款支付中扣除。</w:t>
      </w:r>
    </w:p>
    <w:p w14:paraId="7CE07760">
      <w:pPr>
        <w:spacing w:line="400" w:lineRule="exact"/>
        <w:ind w:firstLine="48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缺陷责任期维护响应时间：验收通过之日起对工程免费保修，缺陷责任期：自竣工验收合格之日起2年，在缺陷责任期内因质量问题及维护不力等而引起的问题，承包人应在24小时内立即予以免费维修或更换，由此引起的费用由承包人承担。</w:t>
      </w:r>
    </w:p>
    <w:p w14:paraId="6AAED020">
      <w:pPr>
        <w:spacing w:line="400" w:lineRule="exact"/>
        <w:ind w:firstLine="480"/>
        <w:rPr>
          <w:rFonts w:hint="eastAsia" w:ascii="宋体" w:hAnsi="宋体" w:eastAsia="宋体" w:cs="宋体"/>
          <w:color w:val="auto"/>
          <w:kern w:val="0"/>
          <w:sz w:val="24"/>
          <w:szCs w:val="22"/>
          <w:highlight w:val="none"/>
        </w:rPr>
      </w:pPr>
      <w:r>
        <w:rPr>
          <w:rFonts w:hint="eastAsia" w:ascii="宋体" w:hAnsi="宋体" w:eastAsia="宋体" w:cs="宋体"/>
          <w:kern w:val="0"/>
          <w:sz w:val="24"/>
          <w:szCs w:val="24"/>
          <w:highlight w:val="none"/>
        </w:rPr>
        <w:t>5.由于该工程属于施工总承包，总承包单位须按照交钥匙工程完成交付前所有验收和备案手续，工程竣工验收相关涉及专业验收及竣工备案验收所产生的配合费用，同时承担验收配合费用，中标单位需一并考虑放入投标报价中。</w:t>
      </w:r>
    </w:p>
    <w:p w14:paraId="19C9D7DC">
      <w:pPr>
        <w:spacing w:line="400" w:lineRule="exact"/>
        <w:ind w:firstLine="482"/>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highlight w:val="none"/>
          <w:lang w:val="en-US"/>
        </w:rPr>
        <w:t>四、</w:t>
      </w:r>
      <w:r>
        <w:rPr>
          <w:rFonts w:hint="eastAsia" w:ascii="宋体" w:hAnsi="宋体" w:eastAsia="宋体" w:cs="宋体"/>
          <w:b/>
          <w:bCs/>
          <w:color w:val="auto"/>
          <w:kern w:val="0"/>
          <w:sz w:val="24"/>
          <w:highlight w:val="none"/>
        </w:rPr>
        <w:t>技术要求</w:t>
      </w:r>
    </w:p>
    <w:p w14:paraId="38FDA7DC">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 xml:space="preserve">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06A2065D">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rPr>
        <w:t xml:space="preserve">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41654C32">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highlight w:val="none"/>
          <w:lang w:val="en-US"/>
        </w:rPr>
        <w:t>五、</w:t>
      </w:r>
      <w:r>
        <w:rPr>
          <w:rFonts w:hint="eastAsia" w:ascii="宋体" w:hAnsi="宋体" w:eastAsia="宋体" w:cs="宋体"/>
          <w:b/>
          <w:bCs/>
          <w:color w:val="auto"/>
          <w:kern w:val="0"/>
          <w:sz w:val="24"/>
          <w:highlight w:val="none"/>
        </w:rPr>
        <w:t>验收要求</w:t>
      </w:r>
    </w:p>
    <w:p w14:paraId="2241043B">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rPr>
        <w:t>）验收条件：根据技术要求全部完成后，项目竣工且提供竣工验收资料。</w:t>
      </w:r>
    </w:p>
    <w:p w14:paraId="7C5EE85A">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rPr>
        <w:t>）验收时间：在满足合同验收条件情况下，采购人在3个工作日内组织验收并出具验收书。</w:t>
      </w:r>
    </w:p>
    <w:p w14:paraId="0DD4827E">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rPr>
        <w:t>）验收标准：符合相关法律法规及设计要求，工程质量达到合格。</w:t>
      </w:r>
    </w:p>
    <w:p w14:paraId="39ABFE29">
      <w:pPr>
        <w:spacing w:line="400" w:lineRule="exact"/>
        <w:ind w:firstLine="48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rPr>
        <w:t>）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018FDC9F">
      <w:pPr>
        <w:spacing w:line="400" w:lineRule="exact"/>
        <w:ind w:firstLine="482"/>
        <w:jc w:val="left"/>
        <w:rPr>
          <w:rFonts w:hint="eastAsia" w:ascii="宋体" w:hAnsi="宋体" w:eastAsia="宋体" w:cs="宋体"/>
          <w:color w:val="auto"/>
          <w:kern w:val="0"/>
          <w:sz w:val="24"/>
          <w:szCs w:val="22"/>
          <w:highlight w:val="none"/>
        </w:rPr>
      </w:pPr>
      <w:r>
        <w:rPr>
          <w:rFonts w:hint="eastAsia" w:ascii="Times New Roman" w:hAnsi="Times New Roman" w:eastAsia="宋体" w:cs="仿宋"/>
          <w:color w:val="auto"/>
          <w:kern w:val="0"/>
          <w:sz w:val="24"/>
          <w:szCs w:val="22"/>
          <w:highlight w:val="none"/>
        </w:rPr>
        <w:t>★</w:t>
      </w:r>
      <w:r>
        <w:rPr>
          <w:rFonts w:hint="eastAsia" w:ascii="宋体" w:hAnsi="宋体" w:eastAsia="宋体" w:cs="宋体"/>
          <w:b/>
          <w:bCs/>
          <w:color w:val="auto"/>
          <w:kern w:val="0"/>
          <w:sz w:val="24"/>
          <w:highlight w:val="none"/>
          <w:lang w:val="en-US"/>
        </w:rPr>
        <w:t>六、</w:t>
      </w:r>
      <w:r>
        <w:rPr>
          <w:rFonts w:hint="eastAsia" w:ascii="宋体" w:hAnsi="宋体" w:eastAsia="宋体" w:cs="宋体"/>
          <w:b/>
          <w:bCs/>
          <w:color w:val="auto"/>
          <w:kern w:val="0"/>
          <w:sz w:val="24"/>
          <w:highlight w:val="none"/>
        </w:rPr>
        <w:t>工程量清单及图纸：</w:t>
      </w:r>
      <w:r>
        <w:rPr>
          <w:rFonts w:hint="eastAsia" w:ascii="宋体" w:hAnsi="宋体" w:eastAsia="宋体" w:cs="宋体"/>
          <w:color w:val="auto"/>
          <w:kern w:val="0"/>
          <w:sz w:val="24"/>
          <w:highlight w:val="none"/>
        </w:rPr>
        <w:t>另附</w:t>
      </w:r>
    </w:p>
    <w:p w14:paraId="2B518E16">
      <w:pPr>
        <w:spacing w:line="480" w:lineRule="exact"/>
        <w:ind w:firstLine="482"/>
        <w:rPr>
          <w:rFonts w:hint="eastAsia" w:ascii="宋体" w:hAnsi="宋体" w:eastAsia="宋体" w:cs="Times New Roman"/>
          <w:b/>
          <w:color w:val="auto"/>
          <w:kern w:val="0"/>
          <w:sz w:val="24"/>
          <w:szCs w:val="24"/>
          <w:highlight w:val="none"/>
        </w:rPr>
      </w:pPr>
    </w:p>
    <w:p w14:paraId="25E94E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A64C6"/>
    <w:rsid w:val="5ABA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2025-09-17T01:58:00Z</dcterms:created>
  <dc:creator>Administrator</dc:creator>
  <cp:lastModifiedBy>Administrator</cp:lastModifiedBy>
  <dcterms:modified xsi:type="dcterms:W3CDTF">2025-09-17T02:00:05Z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9D2B17D233F84383A3FB71ADF32F7468_11</vt:lpwstr>
  </property>
  <property fmtid="{D5CDD505-2E9C-101B-9397-08002B2CF9AE}" pid="4" name="KSOTemplateDocerSaveRecord">
    <vt:lpwstr>eyJoZGlkIjoiMDBlNDEyNzVlZDUzNjU4OGYzYmMzMmI5OTk4ZjRlYmIiLCJ1c2VySWQiOiI1OTI5OTYwMjYifQ==</vt:lpwstr>
  </property>
</Properties>
</file>